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E75" w:rsidRDefault="00111D2F">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04E75" w:rsidRDefault="00111D2F">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1.013769</w:t>
      </w:r>
    </w:p>
    <w:p w:rsidR="00004E75" w:rsidRDefault="00111D2F">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872/QĐ-BXD</w:t>
      </w:r>
    </w:p>
    <w:p w:rsidR="00004E75" w:rsidRDefault="00111D2F">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chuyển đổi công năng nhà ở không thuộc tài sản công</w:t>
      </w:r>
    </w:p>
    <w:p w:rsidR="00004E75" w:rsidRDefault="00111D2F">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004E75" w:rsidRDefault="00111D2F">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004E75" w:rsidRDefault="00111D2F">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004E75" w:rsidRDefault="00111D2F">
      <w:pPr>
        <w:spacing w:after="0" w:line="276" w:lineRule="auto"/>
        <w:jc w:val="both"/>
      </w:pPr>
      <w:r>
        <w:rPr>
          <w:rFonts w:ascii="Times New Roman" w:eastAsia="Times New Roman" w:hAnsi="Times New Roman" w:cs="Times New Roman"/>
          <w:b/>
          <w:sz w:val="26"/>
        </w:rPr>
        <w:t xml:space="preserve">Trình tự thực hiện: </w:t>
      </w:r>
    </w:p>
    <w:p w:rsidR="00004E75" w:rsidRDefault="00004E75">
      <w:pPr>
        <w:shd w:val="clear" w:color="auto" w:fill="F2F6F9"/>
        <w:spacing w:before="120" w:after="0" w:line="276" w:lineRule="auto"/>
        <w:jc w:val="both"/>
      </w:pPr>
    </w:p>
    <w:p w:rsidR="00004E75" w:rsidRDefault="00111D2F">
      <w:pPr>
        <w:spacing w:after="0" w:line="276" w:lineRule="auto"/>
        <w:jc w:val="both"/>
      </w:pPr>
      <w:r>
        <w:rPr>
          <w:rFonts w:ascii="Times New Roman" w:eastAsia="Times New Roman" w:hAnsi="Times New Roman" w:cs="Times New Roman"/>
          <w:sz w:val="26"/>
        </w:rPr>
        <w:t>a) Chủ đầu tư lập 01 bộ hồ sơ gửi đến UBND cấp tỉnh nơi có nhà ở.</w:t>
      </w:r>
    </w:p>
    <w:p w:rsidR="00004E75" w:rsidRDefault="00111D2F">
      <w:pPr>
        <w:spacing w:after="0" w:line="276" w:lineRule="auto"/>
        <w:jc w:val="both"/>
      </w:pPr>
      <w:r>
        <w:rPr>
          <w:rFonts w:ascii="Times New Roman" w:eastAsia="Times New Roman" w:hAnsi="Times New Roman" w:cs="Times New Roman"/>
          <w:sz w:val="26"/>
        </w:rPr>
        <w:t>b) Trong thời hạn 05 ngày kể từ ngày nhận được hồ sơ, UBND cấp tỉnh kiểm tra hồ sơ và gửi lấy ý kiến các cơ quan có liên quan của địa phương.</w:t>
      </w:r>
    </w:p>
    <w:p w:rsidR="00004E75" w:rsidRDefault="00111D2F">
      <w:pPr>
        <w:spacing w:after="0" w:line="276" w:lineRule="auto"/>
        <w:jc w:val="both"/>
      </w:pPr>
      <w:r>
        <w:rPr>
          <w:rFonts w:ascii="Times New Roman" w:eastAsia="Times New Roman" w:hAnsi="Times New Roman" w:cs="Times New Roman"/>
          <w:sz w:val="26"/>
        </w:rPr>
        <w:t xml:space="preserve">c) Trong thời hạn 15 ngày </w:t>
      </w:r>
      <w:r>
        <w:rPr>
          <w:rFonts w:ascii="Times New Roman" w:eastAsia="Times New Roman" w:hAnsi="Times New Roman" w:cs="Times New Roman"/>
          <w:sz w:val="26"/>
        </w:rPr>
        <w:t>kể từ ngày nhận được văn bản của UBND cấp tỉnh, các cơ quan có ý kiến bằng văn bản gửi UBND cấp tỉnh.</w:t>
      </w:r>
    </w:p>
    <w:p w:rsidR="00004E75" w:rsidRDefault="00111D2F">
      <w:pPr>
        <w:spacing w:after="0" w:line="276" w:lineRule="auto"/>
        <w:jc w:val="both"/>
      </w:pPr>
      <w:r>
        <w:rPr>
          <w:rFonts w:ascii="Times New Roman" w:eastAsia="Times New Roman" w:hAnsi="Times New Roman" w:cs="Times New Roman"/>
          <w:sz w:val="26"/>
        </w:rPr>
        <w:t xml:space="preserve">d) UBND cấp tỉnh tổng hợp ý kiến, xem xét, có văn bản chấp thuận chuyển đổi công năng nhà ở hoặc nêu rõ lý do không đủ điều kiện chuyển đổi công năng nhà </w:t>
      </w:r>
      <w:r>
        <w:rPr>
          <w:rFonts w:ascii="Times New Roman" w:eastAsia="Times New Roman" w:hAnsi="Times New Roman" w:cs="Times New Roman"/>
          <w:sz w:val="26"/>
        </w:rPr>
        <w:t>ở, gửi chủ đầu tư.</w:t>
      </w:r>
    </w:p>
    <w:p w:rsidR="00004E75" w:rsidRDefault="00111D2F">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786"/>
        <w:gridCol w:w="1827"/>
        <w:gridCol w:w="3130"/>
        <w:gridCol w:w="2668"/>
      </w:tblGrid>
      <w:tr w:rsidR="00004E75">
        <w:tblPrEx>
          <w:tblCellMar>
            <w:top w:w="0" w:type="dxa"/>
            <w:bottom w:w="0" w:type="dxa"/>
          </w:tblCellMar>
        </w:tblPrEx>
        <w:tc>
          <w:tcPr>
            <w:tcW w:w="1500" w:type="dxa"/>
          </w:tcPr>
          <w:p w:rsidR="00004E75" w:rsidRDefault="00004E75"/>
          <w:p w:rsidR="00004E75" w:rsidRDefault="00111D2F">
            <w:pPr>
              <w:spacing w:after="0" w:line="276" w:lineRule="auto"/>
              <w:jc w:val="center"/>
            </w:pPr>
            <w:r>
              <w:rPr>
                <w:rFonts w:ascii="Times New Roman" w:eastAsia="Times New Roman" w:hAnsi="Times New Roman" w:cs="Times New Roman"/>
                <w:b/>
                <w:sz w:val="26"/>
              </w:rPr>
              <w:t>Hình thức nộp</w:t>
            </w:r>
          </w:p>
        </w:tc>
        <w:tc>
          <w:tcPr>
            <w:tcW w:w="2000" w:type="dxa"/>
          </w:tcPr>
          <w:p w:rsidR="00004E75" w:rsidRDefault="00004E75"/>
          <w:p w:rsidR="00004E75" w:rsidRDefault="00111D2F">
            <w:pPr>
              <w:spacing w:after="0" w:line="276" w:lineRule="auto"/>
              <w:jc w:val="center"/>
            </w:pPr>
            <w:r>
              <w:rPr>
                <w:rFonts w:ascii="Times New Roman" w:eastAsia="Times New Roman" w:hAnsi="Times New Roman" w:cs="Times New Roman"/>
                <w:b/>
                <w:sz w:val="26"/>
              </w:rPr>
              <w:t>Thời hạn giải quyết</w:t>
            </w:r>
          </w:p>
        </w:tc>
        <w:tc>
          <w:tcPr>
            <w:tcW w:w="3500" w:type="dxa"/>
          </w:tcPr>
          <w:p w:rsidR="00004E75" w:rsidRDefault="00004E75"/>
          <w:p w:rsidR="00004E75" w:rsidRDefault="00111D2F">
            <w:pPr>
              <w:spacing w:after="0" w:line="276" w:lineRule="auto"/>
              <w:jc w:val="center"/>
            </w:pPr>
            <w:r>
              <w:rPr>
                <w:rFonts w:ascii="Times New Roman" w:eastAsia="Times New Roman" w:hAnsi="Times New Roman" w:cs="Times New Roman"/>
                <w:b/>
                <w:sz w:val="26"/>
              </w:rPr>
              <w:t>Phí, lệ phí</w:t>
            </w:r>
          </w:p>
        </w:tc>
        <w:tc>
          <w:tcPr>
            <w:tcW w:w="3000" w:type="dxa"/>
          </w:tcPr>
          <w:p w:rsidR="00004E75" w:rsidRDefault="00004E75"/>
          <w:p w:rsidR="00004E75" w:rsidRDefault="00111D2F">
            <w:pPr>
              <w:spacing w:after="0" w:line="276" w:lineRule="auto"/>
              <w:jc w:val="center"/>
            </w:pPr>
            <w:r>
              <w:rPr>
                <w:rFonts w:ascii="Times New Roman" w:eastAsia="Times New Roman" w:hAnsi="Times New Roman" w:cs="Times New Roman"/>
                <w:b/>
                <w:sz w:val="26"/>
              </w:rPr>
              <w:t>Mô tả</w:t>
            </w:r>
          </w:p>
        </w:tc>
      </w:tr>
      <w:tr w:rsidR="00004E75">
        <w:tblPrEx>
          <w:tblCellMar>
            <w:top w:w="0" w:type="dxa"/>
            <w:bottom w:w="0" w:type="dxa"/>
          </w:tblCellMar>
        </w:tblPrEx>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Trực tiếp</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30 Ngày</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Phí : 0 Đồng</w:t>
            </w:r>
          </w:p>
        </w:tc>
        <w:tc>
          <w:tcPr>
            <w:tcW w:w="0" w:type="auto"/>
          </w:tcPr>
          <w:p w:rsidR="00004E75" w:rsidRDefault="00004E75"/>
        </w:tc>
      </w:tr>
      <w:tr w:rsidR="00004E75">
        <w:tblPrEx>
          <w:tblCellMar>
            <w:top w:w="0" w:type="dxa"/>
            <w:bottom w:w="0" w:type="dxa"/>
          </w:tblCellMar>
        </w:tblPrEx>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Trực tuyến</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30 Ngày</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Phí : 0 Đồng</w:t>
            </w:r>
          </w:p>
        </w:tc>
        <w:tc>
          <w:tcPr>
            <w:tcW w:w="0" w:type="auto"/>
          </w:tcPr>
          <w:p w:rsidR="00004E75" w:rsidRDefault="00004E75"/>
        </w:tc>
      </w:tr>
      <w:tr w:rsidR="00004E75">
        <w:tblPrEx>
          <w:tblCellMar>
            <w:top w:w="0" w:type="dxa"/>
            <w:bottom w:w="0" w:type="dxa"/>
          </w:tblCellMar>
        </w:tblPrEx>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Dịch vụ bưu chính</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30 Ngày</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Phí : 0 Đồng</w:t>
            </w:r>
          </w:p>
        </w:tc>
        <w:tc>
          <w:tcPr>
            <w:tcW w:w="0" w:type="auto"/>
          </w:tcPr>
          <w:p w:rsidR="00004E75" w:rsidRDefault="00004E75"/>
        </w:tc>
      </w:tr>
    </w:tbl>
    <w:p w:rsidR="00004E75" w:rsidRDefault="00111D2F">
      <w:pPr>
        <w:spacing w:before="240" w:after="0" w:line="276" w:lineRule="auto"/>
        <w:jc w:val="both"/>
      </w:pPr>
      <w:r>
        <w:rPr>
          <w:rFonts w:ascii="Times New Roman" w:eastAsia="Times New Roman" w:hAnsi="Times New Roman" w:cs="Times New Roman"/>
          <w:b/>
          <w:sz w:val="26"/>
        </w:rPr>
        <w:t xml:space="preserve">Thành phần hồ sơ: </w:t>
      </w:r>
    </w:p>
    <w:p w:rsidR="00004E75" w:rsidRDefault="00111D2F">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234"/>
        <w:gridCol w:w="1256"/>
        <w:gridCol w:w="921"/>
      </w:tblGrid>
      <w:tr w:rsidR="00004E75">
        <w:tblPrEx>
          <w:tblCellMar>
            <w:top w:w="0" w:type="dxa"/>
            <w:bottom w:w="0" w:type="dxa"/>
          </w:tblCellMar>
        </w:tblPrEx>
        <w:tc>
          <w:tcPr>
            <w:tcW w:w="6000" w:type="dxa"/>
          </w:tcPr>
          <w:p w:rsidR="00004E75" w:rsidRDefault="00004E75"/>
          <w:p w:rsidR="00004E75" w:rsidRDefault="00111D2F">
            <w:pPr>
              <w:spacing w:after="0" w:line="276" w:lineRule="auto"/>
              <w:jc w:val="center"/>
            </w:pPr>
            <w:r>
              <w:rPr>
                <w:rFonts w:ascii="Times New Roman" w:eastAsia="Times New Roman" w:hAnsi="Times New Roman" w:cs="Times New Roman"/>
                <w:b/>
                <w:sz w:val="26"/>
              </w:rPr>
              <w:t>Tên giấy tờ</w:t>
            </w:r>
          </w:p>
        </w:tc>
        <w:tc>
          <w:tcPr>
            <w:tcW w:w="2000" w:type="dxa"/>
          </w:tcPr>
          <w:p w:rsidR="00004E75" w:rsidRDefault="00004E75"/>
          <w:p w:rsidR="00004E75" w:rsidRDefault="00111D2F">
            <w:pPr>
              <w:spacing w:after="0" w:line="276" w:lineRule="auto"/>
              <w:jc w:val="center"/>
            </w:pPr>
            <w:r>
              <w:rPr>
                <w:rFonts w:ascii="Times New Roman" w:eastAsia="Times New Roman" w:hAnsi="Times New Roman" w:cs="Times New Roman"/>
                <w:b/>
                <w:sz w:val="26"/>
              </w:rPr>
              <w:t>Mẫu đơn, tờ khai</w:t>
            </w:r>
          </w:p>
        </w:tc>
        <w:tc>
          <w:tcPr>
            <w:tcW w:w="2000" w:type="dxa"/>
          </w:tcPr>
          <w:p w:rsidR="00004E75" w:rsidRDefault="00004E75"/>
          <w:p w:rsidR="00004E75" w:rsidRDefault="00111D2F">
            <w:pPr>
              <w:spacing w:after="0" w:line="276" w:lineRule="auto"/>
              <w:jc w:val="center"/>
            </w:pPr>
            <w:r>
              <w:rPr>
                <w:rFonts w:ascii="Times New Roman" w:eastAsia="Times New Roman" w:hAnsi="Times New Roman" w:cs="Times New Roman"/>
                <w:b/>
                <w:sz w:val="26"/>
              </w:rPr>
              <w:t>Số lượng</w:t>
            </w:r>
          </w:p>
        </w:tc>
      </w:tr>
      <w:tr w:rsidR="00004E75">
        <w:tblPrEx>
          <w:tblCellMar>
            <w:top w:w="0" w:type="dxa"/>
            <w:bottom w:w="0" w:type="dxa"/>
          </w:tblCellMar>
        </w:tblPrEx>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 xml:space="preserve">- Văn bản đề nghị chuyển đổi công năng nhà ở theo mẫu tại Mục 3 Phụ lục I Nghị định số 144/2025/NĐ-CP ngày 12/6/2025 của Chính </w:t>
            </w:r>
            <w:r>
              <w:rPr>
                <w:rFonts w:ascii="Times New Roman" w:eastAsia="Times New Roman" w:hAnsi="Times New Roman" w:cs="Times New Roman"/>
                <w:sz w:val="26"/>
              </w:rPr>
              <w:lastRenderedPageBreak/>
              <w:t>phủ quy định về phân quyền, phân cấp trong lĩnh vực quản lý nhà nước của Bộ Xây dựng.</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Mun.docx</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1</w:t>
            </w:r>
          </w:p>
        </w:tc>
      </w:tr>
      <w:tr w:rsidR="00004E75">
        <w:tblPrEx>
          <w:tblCellMar>
            <w:top w:w="0" w:type="dxa"/>
            <w:bottom w:w="0" w:type="dxa"/>
          </w:tblCellMar>
        </w:tblPrEx>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 Đề án chuyển đổi công năng nhà ở bao gồm các nội dung: Địa chỉ, số lượng nhà ở cần chuyển đổi; nguyên nhân, sự cần thiết phải chuyển đổi công năng nhà ở, thời gian thực hiện việc chuyển đổi, loại nhà ở sau khi chuyển đổi, phương</w:t>
            </w:r>
            <w:r>
              <w:rPr>
                <w:rFonts w:ascii="Times New Roman" w:eastAsia="Times New Roman" w:hAnsi="Times New Roman" w:cs="Times New Roman"/>
                <w:sz w:val="26"/>
              </w:rPr>
              <w:t xml:space="preserve"> án quản lý sử dụng nhà ở sau khi chuyển đổi (cho thuê, cho thuê mua, hoặc bán theo quy định của pháp luật về nhà ở, hoặc bán đấu giá theo quy định của pháp luật về đấu giá nếu thuộc trường hợp đề nghị cho phép bán đấu giá), trách nhiệm thực hiện của các c</w:t>
            </w:r>
            <w:r>
              <w:rPr>
                <w:rFonts w:ascii="Times New Roman" w:eastAsia="Times New Roman" w:hAnsi="Times New Roman" w:cs="Times New Roman"/>
                <w:sz w:val="26"/>
              </w:rPr>
              <w:t>á nhân, cơ quan, tổ chức liên quan, việc thực hiện nghĩa vụ tài chính (nếu có) và các nội dung khác có liên quan.</w:t>
            </w:r>
          </w:p>
        </w:tc>
        <w:tc>
          <w:tcPr>
            <w:tcW w:w="0" w:type="auto"/>
          </w:tcPr>
          <w:p w:rsidR="00004E75" w:rsidRDefault="00004E75"/>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04E75">
        <w:tblPrEx>
          <w:tblCellMar>
            <w:top w:w="0" w:type="dxa"/>
            <w:bottom w:w="0" w:type="dxa"/>
          </w:tblCellMar>
        </w:tblPrEx>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 Quyết định hoặc chấp thuận chủ trương đầu tư dự án của cơ quan có thẩm quyền, giấy tờ nghiệm thu đưa nhà ở vào s</w:t>
            </w:r>
            <w:r>
              <w:rPr>
                <w:rFonts w:ascii="Times New Roman" w:eastAsia="Times New Roman" w:hAnsi="Times New Roman" w:cs="Times New Roman"/>
                <w:sz w:val="26"/>
              </w:rPr>
              <w:t>ử dụng theo quy định của pháp luật về xây dựng (đối với trường hợp chuyển đổi nhà ở trong dự án); hồ sơ quản lý, sử dụng nhà ở (đối với trường hợp chuyển đổi nhà ở không được đầu tư xây dựng theo dự án).</w:t>
            </w:r>
          </w:p>
        </w:tc>
        <w:tc>
          <w:tcPr>
            <w:tcW w:w="0" w:type="auto"/>
          </w:tcPr>
          <w:p w:rsidR="00004E75" w:rsidRDefault="00004E75"/>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004E75" w:rsidRDefault="00111D2F">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w:t>
      </w:r>
      <w:r>
        <w:rPr>
          <w:rFonts w:ascii="Times New Roman" w:eastAsia="Times New Roman" w:hAnsi="Times New Roman" w:cs="Times New Roman"/>
          <w:sz w:val="26"/>
        </w:rPr>
        <w:t xml:space="preserve"> dân Việt Nam, Doanh nghiệp, Tổ chức (không bao gồm doanh nghiệp, HTX), Hợp tác xã</w:t>
      </w:r>
    </w:p>
    <w:p w:rsidR="00004E75" w:rsidRDefault="00111D2F">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004E75" w:rsidRDefault="00111D2F">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004E75" w:rsidRDefault="00111D2F">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004E75" w:rsidRDefault="00111D2F">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004E75" w:rsidRDefault="00111D2F">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04E75" w:rsidRDefault="00111D2F">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Kết quả thực hiện TTHC: Văn bản chấp thuận</w:t>
      </w:r>
    </w:p>
    <w:p w:rsidR="00004E75" w:rsidRDefault="00111D2F">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722"/>
        <w:gridCol w:w="5333"/>
        <w:gridCol w:w="904"/>
        <w:gridCol w:w="1452"/>
      </w:tblGrid>
      <w:tr w:rsidR="00004E75">
        <w:tblPrEx>
          <w:tblCellMar>
            <w:top w:w="0" w:type="dxa"/>
            <w:bottom w:w="0" w:type="dxa"/>
          </w:tblCellMar>
        </w:tblPrEx>
        <w:tc>
          <w:tcPr>
            <w:tcW w:w="2000" w:type="dxa"/>
          </w:tcPr>
          <w:p w:rsidR="00004E75" w:rsidRDefault="00004E75"/>
          <w:p w:rsidR="00004E75" w:rsidRDefault="00111D2F">
            <w:pPr>
              <w:spacing w:after="0" w:line="276" w:lineRule="auto"/>
              <w:jc w:val="center"/>
            </w:pPr>
            <w:r>
              <w:rPr>
                <w:rFonts w:ascii="Times New Roman" w:eastAsia="Times New Roman" w:hAnsi="Times New Roman" w:cs="Times New Roman"/>
                <w:b/>
                <w:sz w:val="26"/>
              </w:rPr>
              <w:t>Số ký hiệu</w:t>
            </w:r>
          </w:p>
        </w:tc>
        <w:tc>
          <w:tcPr>
            <w:tcW w:w="3500" w:type="dxa"/>
          </w:tcPr>
          <w:p w:rsidR="00004E75" w:rsidRDefault="00004E75"/>
          <w:p w:rsidR="00004E75" w:rsidRDefault="00111D2F">
            <w:pPr>
              <w:spacing w:after="0" w:line="276" w:lineRule="auto"/>
              <w:jc w:val="center"/>
            </w:pPr>
            <w:r>
              <w:rPr>
                <w:rFonts w:ascii="Times New Roman" w:eastAsia="Times New Roman" w:hAnsi="Times New Roman" w:cs="Times New Roman"/>
                <w:b/>
                <w:sz w:val="26"/>
              </w:rPr>
              <w:t>Trích yếu</w:t>
            </w:r>
          </w:p>
        </w:tc>
        <w:tc>
          <w:tcPr>
            <w:tcW w:w="1500" w:type="dxa"/>
          </w:tcPr>
          <w:p w:rsidR="00004E75" w:rsidRDefault="00004E75"/>
          <w:p w:rsidR="00004E75" w:rsidRDefault="00111D2F">
            <w:pPr>
              <w:spacing w:after="0" w:line="276" w:lineRule="auto"/>
              <w:jc w:val="center"/>
            </w:pPr>
            <w:r>
              <w:rPr>
                <w:rFonts w:ascii="Times New Roman" w:eastAsia="Times New Roman" w:hAnsi="Times New Roman" w:cs="Times New Roman"/>
                <w:b/>
                <w:sz w:val="26"/>
              </w:rPr>
              <w:t>Ngày ban hành</w:t>
            </w:r>
          </w:p>
        </w:tc>
        <w:tc>
          <w:tcPr>
            <w:tcW w:w="3000" w:type="dxa"/>
          </w:tcPr>
          <w:p w:rsidR="00004E75" w:rsidRDefault="00004E75"/>
          <w:p w:rsidR="00004E75" w:rsidRDefault="00111D2F">
            <w:pPr>
              <w:spacing w:after="0" w:line="276" w:lineRule="auto"/>
              <w:jc w:val="center"/>
            </w:pPr>
            <w:r>
              <w:rPr>
                <w:rFonts w:ascii="Times New Roman" w:eastAsia="Times New Roman" w:hAnsi="Times New Roman" w:cs="Times New Roman"/>
                <w:b/>
                <w:sz w:val="26"/>
              </w:rPr>
              <w:t>Cơ quan ban hành</w:t>
            </w:r>
          </w:p>
        </w:tc>
      </w:tr>
      <w:tr w:rsidR="00004E75">
        <w:tblPrEx>
          <w:tblCellMar>
            <w:top w:w="0" w:type="dxa"/>
            <w:bottom w:w="0" w:type="dxa"/>
          </w:tblCellMar>
        </w:tblPrEx>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27/2023/QH15</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Luật Nhà ở số 27/2023/QH15</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27-11-2023</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Quốc Hội</w:t>
            </w:r>
          </w:p>
        </w:tc>
      </w:tr>
      <w:tr w:rsidR="00004E75">
        <w:tblPrEx>
          <w:tblCellMar>
            <w:top w:w="0" w:type="dxa"/>
            <w:bottom w:w="0" w:type="dxa"/>
          </w:tblCellMar>
        </w:tblPrEx>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95/2024/NĐ-</w:t>
            </w:r>
            <w:r>
              <w:rPr>
                <w:rFonts w:ascii="Times New Roman" w:eastAsia="Times New Roman" w:hAnsi="Times New Roman" w:cs="Times New Roman"/>
                <w:sz w:val="26"/>
              </w:rPr>
              <w:lastRenderedPageBreak/>
              <w:t>CP</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 xml:space="preserve">Nghị định số 95/2024/NĐ-CP ngày 24 tháng 7 </w:t>
            </w:r>
            <w:r>
              <w:rPr>
                <w:rFonts w:ascii="Times New Roman" w:eastAsia="Times New Roman" w:hAnsi="Times New Roman" w:cs="Times New Roman"/>
                <w:sz w:val="26"/>
              </w:rPr>
              <w:lastRenderedPageBreak/>
              <w:t>năm 2024 của Chính phủ về quy định chi tiết một số điều của Luật Nhà ở;</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24-07-</w:t>
            </w:r>
            <w:r>
              <w:rPr>
                <w:rFonts w:ascii="Times New Roman" w:eastAsia="Times New Roman" w:hAnsi="Times New Roman" w:cs="Times New Roman"/>
                <w:sz w:val="26"/>
              </w:rPr>
              <w:lastRenderedPageBreak/>
              <w:t>2024</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Chính phủ</w:t>
            </w:r>
          </w:p>
        </w:tc>
      </w:tr>
      <w:tr w:rsidR="00004E75">
        <w:tblPrEx>
          <w:tblCellMar>
            <w:top w:w="0" w:type="dxa"/>
            <w:bottom w:w="0" w:type="dxa"/>
          </w:tblCellMar>
        </w:tblPrEx>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144/2025/NĐ-CP</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12-06-2025</w:t>
            </w:r>
          </w:p>
        </w:tc>
        <w:tc>
          <w:tcPr>
            <w:tcW w:w="0" w:type="auto"/>
          </w:tcPr>
          <w:p w:rsidR="00004E75" w:rsidRDefault="00004E75"/>
          <w:p w:rsidR="00004E75" w:rsidRDefault="00111D2F">
            <w:pPr>
              <w:spacing w:after="0" w:line="276" w:lineRule="auto"/>
            </w:pPr>
            <w:r>
              <w:rPr>
                <w:rFonts w:ascii="Times New Roman" w:eastAsia="Times New Roman" w:hAnsi="Times New Roman" w:cs="Times New Roman"/>
                <w:sz w:val="26"/>
              </w:rPr>
              <w:t xml:space="preserve">Chính </w:t>
            </w:r>
            <w:r>
              <w:rPr>
                <w:rFonts w:ascii="Times New Roman" w:eastAsia="Times New Roman" w:hAnsi="Times New Roman" w:cs="Times New Roman"/>
                <w:sz w:val="26"/>
              </w:rPr>
              <w:t>phủ</w:t>
            </w:r>
          </w:p>
        </w:tc>
      </w:tr>
    </w:tbl>
    <w:p w:rsidR="00004E75" w:rsidRDefault="00111D2F">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Nhà ở đã hoàn thành việc nghiệm thu đưa vào sử dụng theo quy định của pháp luật về xây dựng nhưng chưa bố trí sử dụng. - Chỉ thực hiện chuyển đổi công năng đối với nhà ở không thuộc tài sản công trong các trường hợp:  +</w:t>
      </w:r>
      <w:r>
        <w:rPr>
          <w:rFonts w:ascii="Times New Roman" w:eastAsia="Times New Roman" w:hAnsi="Times New Roman" w:cs="Times New Roman"/>
          <w:sz w:val="26"/>
        </w:rPr>
        <w:t xml:space="preserve"> Chuyển đổi từ nhà ở phục vụ tái định cư sang nhà ở xã hội. + Chuyển đổi từ nhà ở xã hội khi không còn nhu cầu sử dụng sang nhà ở phục vụ tái định cư.  + Chuyển đổi từ nhà ở sinh viên hoặc nhà ở công nhân sang nhà ở xã hội. + Chuyển đổi từ nhà ở sinh viên </w:t>
      </w:r>
      <w:r>
        <w:rPr>
          <w:rFonts w:ascii="Times New Roman" w:eastAsia="Times New Roman" w:hAnsi="Times New Roman" w:cs="Times New Roman"/>
          <w:sz w:val="26"/>
        </w:rPr>
        <w:t>hoặc nhà ở phục vụ tái định cư mà không đủ điều kiện chuyển đổi công năng sang nhà ở xã hội để bán đấu giá. - Đối với nhà chung cư có thể chuyển đổi một phần hoặc toàn bộ nhà chung cư. - Việc chuyển đổi công năng nhà ở không được làm thay đổi hệ thống hạ t</w:t>
      </w:r>
      <w:r>
        <w:rPr>
          <w:rFonts w:ascii="Times New Roman" w:eastAsia="Times New Roman" w:hAnsi="Times New Roman" w:cs="Times New Roman"/>
          <w:sz w:val="26"/>
        </w:rPr>
        <w:t xml:space="preserve">ầng kỹ thuật, hạ tầng xã hội của khu vực có nhà ở chuyển đổi, phải bảo đảm quy chuẩn, tiêu chuẩn theo pháp luật về xây dựng và tuân thủ nghĩa vụ tài chính, thuế đối với nhà ở được chuyển đổi theo quy định của pháp luật về đất đai, pháp luật về nhà ở, pháp </w:t>
      </w:r>
      <w:r>
        <w:rPr>
          <w:rFonts w:ascii="Times New Roman" w:eastAsia="Times New Roman" w:hAnsi="Times New Roman" w:cs="Times New Roman"/>
          <w:sz w:val="26"/>
        </w:rPr>
        <w:t>luật về thuế và pháp luật có liên quan. - Nhà ở chuyển đổi công năng phải có cùng nguồn vốn đầu tư xây dựng với nhà ở sau chuyển đổi.</w:t>
      </w:r>
    </w:p>
    <w:p w:rsidR="00004E75" w:rsidRDefault="00111D2F">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04E75" w:rsidRDefault="00111D2F">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004E75">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04E75"/>
    <w:rsid w:val="00004E75"/>
    <w:rsid w:val="00111D2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7DAB5A-7A88-43DB-84B8-35EAE13A8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636</Words>
  <Characters>3628</Characters>
  <Application>Microsoft Office Word</Application>
  <DocSecurity>0</DocSecurity>
  <Lines>30</Lines>
  <Paragraphs>8</Paragraphs>
  <ScaleCrop>false</ScaleCrop>
  <Company>Microsoft</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